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CD" w:rsidRPr="00F469CD" w:rsidRDefault="00F469CD" w:rsidP="00F469CD">
      <w:pPr>
        <w:shd w:val="clear" w:color="auto" w:fill="FFFFFF"/>
        <w:spacing w:before="360" w:after="240" w:line="479" w:lineRule="atLeast"/>
        <w:outlineLvl w:val="0"/>
        <w:rPr>
          <w:rFonts w:ascii="Noto Sans" w:eastAsia="Times New Roman" w:hAnsi="Noto San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469CD">
        <w:rPr>
          <w:rFonts w:ascii="Noto Sans" w:eastAsia="Times New Roman" w:hAnsi="Noto Sans" w:cs="Times New Roman"/>
          <w:b/>
          <w:bCs/>
          <w:color w:val="000000"/>
          <w:kern w:val="36"/>
          <w:sz w:val="36"/>
          <w:szCs w:val="36"/>
          <w:lang w:eastAsia="ru-RU"/>
        </w:rPr>
        <w:t>Информация о здоровом питании</w:t>
      </w:r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такое здоровое питание?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Здоровое питание – это такое питание, которое обеспечивает рост,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Точный состав здорового питания зависит от индивидуальных особенностей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возраст, пол, образ жизни и степень физической активности), культурного контекста, имеющихся местных продуктов и обычаев в области питания.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ПРИНЦИПЫ ЗДОРОВОГО ПИТАНИЯ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потребление энергии (калорий) должно быть сбалансировано с ее расходом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ежедневное употребление 400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(минимум) фруктов и овощей, помимо картофеля, и крахмалсодержащих корнеплодов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арахиса, или 100-140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соевых бобов)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насыщенные жиры (твердые жиры) должны составлять менее 10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%,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трансжиры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майонеза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,м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аргарина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, кетчупа, кондитерских изделий) – менее 1% от общей потребляемой энергии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желательно заменять насыщенные жиры и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трансжиры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ненасыщенными жирами, и полностью исключить из рациона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трансжиры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промышленного производства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свободные сахара должны составлять менее 10% (50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или 12 чайных ложек без верха для человека с нормальным весом, потребляющего около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оль предпочтительно йодированная, менее 5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в день ( чайная ложка без верха)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алкоголь не употреблять, либо значительно уменьшить его количество.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Безопасной для здоровья дозы алкоголя, по мнению ВОЗ, не существует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lastRenderedPageBreak/>
        <w:br/>
      </w:r>
      <w:r w:rsidRPr="00F469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Как интегрировать принципы здорового питания в свою жизнь, с помощью небольших изменений в привычном рационе?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НАЧНИТЕ ИЗМЕНЯТЬ СВОЕ ПИТАНИЕ, ЧТОБЫ СДЕЛАТЬ ЕГО ЗДОРОВЫМ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итаться разнообразно, сбалансированно, с пользой для здоровья по силам каждому.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ФРУКТЫ И ОВОЩИ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примерно 400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Вам кажется, что 400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– это слишком много? Вы раньше ели овощи и фрукты очень редко?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ИСПРАВЛЯЕМ СИТУАЦИЮ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включайте овощи в каждый прием пищи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для перекуса или в качестве закуски используйте свежие овощи и фрукты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отдавайте предпочтение сезонным овощам и фруктам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Жиры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Эксперты по питанию ВОЗ рекомендуют ограничивать употребление любых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жиров растительного и животного происхождения до 30%, лучше – до 10 % и менее от общего потребления энергии.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Кроме того, особо оговаривается необходимость снижения употребления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трансжиров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до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менее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чем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1% от общего потребления энергии и замены насыщенных жиров и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трансжиров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ненасыщенными жирами – в частности, полиненасыщенными.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Это поможет не допустить нездоровый набор веса и снизит риски развития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сердечно-сосудистых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заболеваний и сахарного диабета.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Все эти термины вам не знакомы? Вы считаете, что нежирное не может быть вкусным?</w:t>
      </w:r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ИСПРАВЛЯЕМ СИТУАЦИЮ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готовьте на пару или варите вместо жарки и приготовления во фритюре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сафлоровое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покупайте молочные продукты с пониженным (1,5-2,5%) содержанием жира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покупайте постное мясо, и обязательно обрезайте весь видимый жир перед тем, как начать готовить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ограничьте потребление запеченной и жареной пищи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откажитесь от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lastRenderedPageBreak/>
        <w:t xml:space="preserve">произведенных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трансжиров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СОЛЬ, НАТРИЙ И КАЛИЙ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Эксперты по питанию ВОЗ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рекомендуют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есть меньше 5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гр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соли в день. Это небольшое изменение в питании может предотвратить 1,7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млн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смертей каждый год. Ограничение употребления соли снижает риск развития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сердечно-сосудистых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заболеваний, артериальной гипертонии и инсульта.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Придется убрать солонку со стола? Есть только пресное?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ИСПРАВЛЯЕМ СИТУАЦИЮ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используйте соль с пониженным содержанием натрия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ограничение потребления соленых закусок, выбирайте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снэки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с более низким содержанием натрия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- если вам тяжело сразу снизить потребление соли до рекомендованного уровня, ешьте больше овощей и фруктов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абрикосы, курага, болгарский перец, печеный картофель). Калий, содержащийся в них, во многом смягчает негативное действие натрия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САХАРА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Эксперты по питанию ВОЗ рекомендуют ограничить потребление свободных сахаров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до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менее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чем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 xml:space="preserve">Согласно последним исследованиям, рекомендованный уровень употребления сахаров снижает риск развития кариеса,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сердечно-сосудистых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заболеваний, ожирения. Кроме того, благотворно влияет на липидный состав крови.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Вы считаете, что и так едите немного сладкого? Отказаться от сладостей очень сложно?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ИСПРАВЛЯЕМ СИТУАЦИЮ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не покупайте готовые продукты питания и напитки, содержащие большое количество сахаров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 </w:t>
      </w:r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- особое внимание на готовые сладкие напитки, они основной источник добавленного сахара.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- употребляйте в пищу свежие фрукты, сухофрукты, орехи, мед и сырые овощи в качестве закусок вместо сладких закусок</w:t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  <w:t>Здоровое питание – не краткосрочные ограничительные изменения в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рационе</w:t>
      </w:r>
      <w:proofErr w:type="gram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, а часть здорового образа жизни!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Роспотребнадзором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</w:t>
      </w:r>
      <w:proofErr w:type="spellStart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энергозатратам</w:t>
      </w:r>
      <w:proofErr w:type="spellEnd"/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. </w:t>
      </w:r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F469C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Источник информации :  </w:t>
      </w:r>
      <w:hyperlink r:id="rId5" w:anchor=":~:text=%D0%97%D0%B4%D0%BE%D1%80%D0%BE%D0%B2%D0%BE%D0%B5%20%D0%BF%D0%B8%D1%82%D0%B0%D0%BD%D0%B8%D0%B5%20%E2%80%93%20%D1%8D%D1%82%D0%BE%20%D1%82%D0%B0%D0%BA%D0%BE%D0%B5%20%D0%BF%D0%B8%D1%82%D0%B0%D0%BD%D0%B8%D0%B5,%D0%B1%D0%BE%D0%BB%D0%B5%D0%B7%D0%BD%D0%B8" w:history="1"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 xml:space="preserve">rospotrebnadzor.ru/activities/recommendations/details.php?ELEMENT_ID=11950#:~:text=Здоровое питание – это такое </w:t>
        </w:r>
        <w:proofErr w:type="spellStart"/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питание</w:t>
        </w:r>
        <w:proofErr w:type="gramStart"/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,б</w:t>
        </w:r>
        <w:proofErr w:type="gramEnd"/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олезни</w:t>
        </w:r>
        <w:proofErr w:type="spellEnd"/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 xml:space="preserve"> сердца%2C инсульт и рак.</w:t>
        </w:r>
      </w:hyperlink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6" w:history="1"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"Время правильно питаться"</w:t>
        </w:r>
      </w:hyperlink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7" w:history="1"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Брошюра "Правила здорового питания"</w:t>
        </w:r>
      </w:hyperlink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8" w:history="1"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Буклет "Здоровое питание помогает"</w:t>
        </w:r>
      </w:hyperlink>
    </w:p>
    <w:p w:rsidR="00F469CD" w:rsidRPr="00F469CD" w:rsidRDefault="00F469CD" w:rsidP="00F469CD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9" w:history="1">
        <w:r w:rsidRPr="00F469CD">
          <w:rPr>
            <w:rFonts w:ascii="Montserrat" w:eastAsia="Times New Roman" w:hAnsi="Montserrat" w:cs="Times New Roman"/>
            <w:color w:val="306AFD"/>
            <w:sz w:val="21"/>
            <w:szCs w:val="21"/>
            <w:lang w:eastAsia="ru-RU"/>
          </w:rPr>
          <w:t>Памятка "Выбирай здоровое питание"</w:t>
        </w:r>
      </w:hyperlink>
    </w:p>
    <w:p w:rsidR="00A47D2B" w:rsidRDefault="00A47D2B">
      <w:bookmarkStart w:id="0" w:name="_GoBack"/>
      <w:bookmarkEnd w:id="0"/>
    </w:p>
    <w:sectPr w:rsidR="00A4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CD"/>
    <w:rsid w:val="00A47D2B"/>
    <w:rsid w:val="00F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9CD"/>
    <w:rPr>
      <w:b/>
      <w:bCs/>
    </w:rPr>
  </w:style>
  <w:style w:type="character" w:styleId="a5">
    <w:name w:val="Hyperlink"/>
    <w:basedOn w:val="a0"/>
    <w:uiPriority w:val="99"/>
    <w:semiHidden/>
    <w:unhideWhenUsed/>
    <w:rsid w:val="00F469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9CD"/>
    <w:rPr>
      <w:b/>
      <w:bCs/>
    </w:rPr>
  </w:style>
  <w:style w:type="character" w:styleId="a5">
    <w:name w:val="Hyperlink"/>
    <w:basedOn w:val="a0"/>
    <w:uiPriority w:val="99"/>
    <w:semiHidden/>
    <w:unhideWhenUsed/>
    <w:rsid w:val="00F46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-orsk-r56.gosweb.gosuslugi.ru/netcat_files/userfiles/2/Pitanie/pravila_zdorovogo_pitani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-orsk-r56.gosweb.gosuslugi.ru/netcat_files/userfiles/2/Pitanie/pamyatka_vibirayte_zdorovoe_pitani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1-orsk-r56.gosweb.gosuslugi.ru/netcat_files/userfiles/2/Pitanie/pamyatka_pravilnoe_pitanie_sovremennogo_shkolnik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potrebnadzor.ru/activities/recommendations/details.php?ELEMENT_ID=119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1-orsk-r56.gosweb.gosuslugi.ru/netcat_files/userfiles/2/Pitanie/vremya_pitatsya_pravil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2023-08-31T14:14:00Z</dcterms:created>
  <dcterms:modified xsi:type="dcterms:W3CDTF">2023-08-31T14:14:00Z</dcterms:modified>
</cp:coreProperties>
</file>